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C64B0" w14:textId="77777777" w:rsidR="00FE067E" w:rsidRPr="00EF23C7" w:rsidRDefault="00CD36CF" w:rsidP="00CC1F3B">
      <w:pPr>
        <w:pStyle w:val="TitlePageOrigin"/>
        <w:rPr>
          <w:color w:val="auto"/>
        </w:rPr>
      </w:pPr>
      <w:r w:rsidRPr="00EF23C7">
        <w:rPr>
          <w:color w:val="auto"/>
        </w:rPr>
        <w:t>WEST virginia legislature</w:t>
      </w:r>
    </w:p>
    <w:p w14:paraId="3F4F89E1" w14:textId="266077B5" w:rsidR="00CD36CF" w:rsidRPr="00EF23C7" w:rsidRDefault="00CD36CF" w:rsidP="00CC1F3B">
      <w:pPr>
        <w:pStyle w:val="TitlePageSession"/>
        <w:rPr>
          <w:color w:val="auto"/>
        </w:rPr>
      </w:pPr>
      <w:r w:rsidRPr="00EF23C7">
        <w:rPr>
          <w:color w:val="auto"/>
        </w:rPr>
        <w:t>20</w:t>
      </w:r>
      <w:r w:rsidR="00CC1AB7" w:rsidRPr="00EF23C7">
        <w:rPr>
          <w:color w:val="auto"/>
        </w:rPr>
        <w:t>2</w:t>
      </w:r>
      <w:r w:rsidR="00CD0983" w:rsidRPr="00EF23C7">
        <w:rPr>
          <w:color w:val="auto"/>
        </w:rPr>
        <w:t>1</w:t>
      </w:r>
      <w:r w:rsidRPr="00EF23C7">
        <w:rPr>
          <w:color w:val="auto"/>
        </w:rPr>
        <w:t xml:space="preserve"> </w:t>
      </w:r>
      <w:r w:rsidR="00CD0983" w:rsidRPr="00EF23C7">
        <w:rPr>
          <w:color w:val="auto"/>
        </w:rPr>
        <w:t xml:space="preserve">REGULAR </w:t>
      </w:r>
      <w:r w:rsidRPr="00EF23C7">
        <w:rPr>
          <w:color w:val="auto"/>
        </w:rPr>
        <w:t>session</w:t>
      </w:r>
    </w:p>
    <w:p w14:paraId="696963B0" w14:textId="77777777" w:rsidR="00CD36CF" w:rsidRPr="00EF23C7" w:rsidRDefault="00EC1C4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3C9AED890DA4E6CA9B5EF923F09E546"/>
          </w:placeholder>
          <w:text/>
        </w:sdtPr>
        <w:sdtEndPr/>
        <w:sdtContent>
          <w:r w:rsidR="00AE48A0" w:rsidRPr="00EF23C7">
            <w:rPr>
              <w:color w:val="auto"/>
            </w:rPr>
            <w:t>Introduced</w:t>
          </w:r>
        </w:sdtContent>
      </w:sdt>
    </w:p>
    <w:p w14:paraId="0B2246CF" w14:textId="2EB5FBE2" w:rsidR="00CD36CF" w:rsidRPr="00EF23C7" w:rsidRDefault="00EC1C4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6B319D370DE4A4192FD12576453F94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F23C7">
            <w:rPr>
              <w:color w:val="auto"/>
            </w:rPr>
            <w:t>House</w:t>
          </w:r>
        </w:sdtContent>
      </w:sdt>
      <w:r w:rsidR="00303684" w:rsidRPr="00EF23C7">
        <w:rPr>
          <w:color w:val="auto"/>
        </w:rPr>
        <w:t xml:space="preserve"> </w:t>
      </w:r>
      <w:r w:rsidR="00CD36CF" w:rsidRPr="00EF23C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124DFEB9FDB41B2BFBEB5F6A7DE3765"/>
          </w:placeholder>
          <w:text/>
        </w:sdtPr>
        <w:sdtEndPr/>
        <w:sdtContent>
          <w:r w:rsidR="008B2E10">
            <w:rPr>
              <w:color w:val="auto"/>
            </w:rPr>
            <w:t>3010</w:t>
          </w:r>
        </w:sdtContent>
      </w:sdt>
    </w:p>
    <w:p w14:paraId="3D032DF2" w14:textId="435DF579" w:rsidR="00CD36CF" w:rsidRPr="00EF23C7" w:rsidRDefault="00CD36CF" w:rsidP="00CC1F3B">
      <w:pPr>
        <w:pStyle w:val="Sponsors"/>
        <w:rPr>
          <w:color w:val="auto"/>
        </w:rPr>
      </w:pPr>
      <w:r w:rsidRPr="00EF23C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66F0A6E93EE4A18821A27D73B8CC57D"/>
          </w:placeholder>
          <w:text w:multiLine="1"/>
        </w:sdtPr>
        <w:sdtEndPr/>
        <w:sdtContent>
          <w:r w:rsidR="00B9025F" w:rsidRPr="00B9025F">
            <w:rPr>
              <w:color w:val="auto"/>
            </w:rPr>
            <w:t>Delegates Householder</w:t>
          </w:r>
          <w:r w:rsidR="00044857">
            <w:rPr>
              <w:color w:val="auto"/>
            </w:rPr>
            <w:t xml:space="preserve">, </w:t>
          </w:r>
          <w:r w:rsidR="00B9025F" w:rsidRPr="00B9025F">
            <w:rPr>
              <w:color w:val="auto"/>
            </w:rPr>
            <w:t>Criss</w:t>
          </w:r>
          <w:r w:rsidR="00044857">
            <w:rPr>
              <w:color w:val="auto"/>
            </w:rPr>
            <w:t xml:space="preserve"> and Maynard</w:t>
          </w:r>
          <w:r w:rsidR="00B9025F" w:rsidRPr="00B9025F">
            <w:rPr>
              <w:color w:val="auto"/>
            </w:rPr>
            <w:br/>
            <w:t>(By Request of the Tax and Revenue Department)</w:t>
          </w:r>
        </w:sdtContent>
      </w:sdt>
    </w:p>
    <w:p w14:paraId="45CC8925" w14:textId="1D1D0C34" w:rsidR="00393EAA" w:rsidRDefault="00A159D1" w:rsidP="008E4D5D">
      <w:pPr>
        <w:pStyle w:val="References"/>
        <w:rPr>
          <w:color w:val="auto"/>
        </w:rPr>
        <w:sectPr w:rsidR="00393EAA" w:rsidSect="00A159D1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F23C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2AFEF07E2934C69B4F2FC1E463BECC6"/>
          </w:placeholder>
          <w:text w:multiLine="1"/>
        </w:sdtPr>
        <w:sdtEndPr/>
        <w:sdtContent>
          <w:r w:rsidR="008B2E10">
            <w:rPr>
              <w:color w:val="auto"/>
            </w:rPr>
            <w:t xml:space="preserve">Introduced March 9, 2021; </w:t>
          </w:r>
          <w:r w:rsidR="00B63361">
            <w:rPr>
              <w:color w:val="auto"/>
            </w:rPr>
            <w:t>r</w:t>
          </w:r>
          <w:r w:rsidR="008B2E10">
            <w:rPr>
              <w:color w:val="auto"/>
            </w:rPr>
            <w:t>eferred to the Committee on Finance</w:t>
          </w:r>
        </w:sdtContent>
      </w:sdt>
      <w:r w:rsidRPr="00EF23C7">
        <w:rPr>
          <w:color w:val="auto"/>
        </w:rPr>
        <w:t>]</w:t>
      </w:r>
    </w:p>
    <w:p w14:paraId="2F0F6680" w14:textId="4F713A0B" w:rsidR="00A159D1" w:rsidRPr="00EF23C7" w:rsidRDefault="00A159D1" w:rsidP="008E4D5D">
      <w:pPr>
        <w:pStyle w:val="References"/>
        <w:rPr>
          <w:color w:val="auto"/>
        </w:rPr>
      </w:pPr>
    </w:p>
    <w:p w14:paraId="3B169521" w14:textId="77777777" w:rsidR="00A159D1" w:rsidRPr="00EF23C7" w:rsidRDefault="00A159D1" w:rsidP="00A159D1">
      <w:pPr>
        <w:pStyle w:val="Sponsors"/>
        <w:rPr>
          <w:color w:val="auto"/>
        </w:rPr>
      </w:pPr>
    </w:p>
    <w:p w14:paraId="20A484C7" w14:textId="25DE0799" w:rsidR="008E4D5D" w:rsidRPr="00EF23C7" w:rsidRDefault="008E4D5D" w:rsidP="00A159D1">
      <w:pPr>
        <w:pStyle w:val="Sponsors"/>
        <w:rPr>
          <w:color w:val="auto"/>
        </w:rPr>
        <w:sectPr w:rsidR="008E4D5D" w:rsidRPr="00EF23C7" w:rsidSect="00A159D1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F23C7">
        <w:rPr>
          <w:color w:val="auto"/>
        </w:rPr>
        <w:tab/>
      </w:r>
    </w:p>
    <w:p w14:paraId="39F588A6" w14:textId="759F78C6" w:rsidR="00303684" w:rsidRPr="00EF23C7" w:rsidRDefault="0000526A" w:rsidP="00100FDD">
      <w:pPr>
        <w:pStyle w:val="TitleSection"/>
        <w:ind w:left="720" w:hanging="720"/>
        <w:jc w:val="both"/>
        <w:rPr>
          <w:color w:val="auto"/>
        </w:rPr>
      </w:pPr>
      <w:r w:rsidRPr="00EF23C7">
        <w:rPr>
          <w:color w:val="auto"/>
        </w:rPr>
        <w:lastRenderedPageBreak/>
        <w:t>A BILL</w:t>
      </w:r>
      <w:r w:rsidR="00100FDD" w:rsidRPr="00EF23C7">
        <w:rPr>
          <w:color w:val="auto"/>
        </w:rPr>
        <w:t xml:space="preserve"> </w:t>
      </w:r>
      <w:r w:rsidR="00100FDD" w:rsidRPr="00EF23C7">
        <w:rPr>
          <w:rFonts w:eastAsia="Times New Roman"/>
          <w:color w:val="auto"/>
        </w:rPr>
        <w:t xml:space="preserve">to amend and reenact </w:t>
      </w:r>
      <w:r w:rsidR="00B40FF4" w:rsidRPr="00EF23C7">
        <w:rPr>
          <w:color w:val="auto"/>
        </w:rPr>
        <w:t xml:space="preserve">§11-6L-4 </w:t>
      </w:r>
      <w:r w:rsidR="00100FDD" w:rsidRPr="00EF23C7">
        <w:rPr>
          <w:rFonts w:eastAsia="Times New Roman"/>
          <w:color w:val="auto"/>
        </w:rPr>
        <w:t xml:space="preserve">of the Code of West Virginia, 1931, as amended, </w:t>
      </w:r>
      <w:r w:rsidR="00B40FF4" w:rsidRPr="00EF23C7">
        <w:rPr>
          <w:rFonts w:eastAsia="Times New Roman"/>
          <w:color w:val="auto"/>
        </w:rPr>
        <w:t xml:space="preserve">relating to the </w:t>
      </w:r>
      <w:r w:rsidR="00CD0983" w:rsidRPr="00EF23C7">
        <w:rPr>
          <w:rFonts w:eastAsia="Times New Roman"/>
          <w:color w:val="auto"/>
        </w:rPr>
        <w:t xml:space="preserve">valuation </w:t>
      </w:r>
      <w:r w:rsidR="00B40FF4" w:rsidRPr="00EF23C7">
        <w:rPr>
          <w:rFonts w:eastAsia="Times New Roman"/>
          <w:color w:val="auto"/>
        </w:rPr>
        <w:t>of new cell towers at salvage value</w:t>
      </w:r>
      <w:r w:rsidR="00CD0983" w:rsidRPr="00EF23C7">
        <w:rPr>
          <w:rFonts w:eastAsia="Times New Roman"/>
          <w:color w:val="auto"/>
        </w:rPr>
        <w:t xml:space="preserve"> for ad valorem property tax purposes</w:t>
      </w:r>
      <w:r w:rsidR="00B40FF4" w:rsidRPr="00EF23C7">
        <w:rPr>
          <w:rFonts w:eastAsia="Times New Roman"/>
          <w:color w:val="auto"/>
        </w:rPr>
        <w:t xml:space="preserve">, providing that cell towers not subject to </w:t>
      </w:r>
      <w:r w:rsidR="00934FFB" w:rsidRPr="00EF23C7">
        <w:rPr>
          <w:rFonts w:eastAsia="Times New Roman"/>
          <w:color w:val="auto"/>
        </w:rPr>
        <w:t xml:space="preserve">valuation </w:t>
      </w:r>
      <w:r w:rsidR="00B40FF4" w:rsidRPr="00EF23C7">
        <w:rPr>
          <w:rFonts w:eastAsia="Times New Roman"/>
          <w:color w:val="auto"/>
        </w:rPr>
        <w:t xml:space="preserve">by the Board of Public Works will be </w:t>
      </w:r>
      <w:r w:rsidR="00934FFB" w:rsidRPr="00EF23C7">
        <w:rPr>
          <w:rFonts w:eastAsia="Times New Roman"/>
          <w:color w:val="auto"/>
        </w:rPr>
        <w:t xml:space="preserve">valued </w:t>
      </w:r>
      <w:r w:rsidR="00B40FF4" w:rsidRPr="00EF23C7">
        <w:rPr>
          <w:rFonts w:eastAsia="Times New Roman"/>
          <w:color w:val="auto"/>
        </w:rPr>
        <w:t xml:space="preserve">and assessed according to procedures set forth in §11-3-1 </w:t>
      </w:r>
      <w:r w:rsidR="00C82B15" w:rsidRPr="00C82B15">
        <w:rPr>
          <w:rFonts w:eastAsia="Times New Roman"/>
          <w:i/>
          <w:iCs/>
          <w:color w:val="auto"/>
        </w:rPr>
        <w:t>et seq.</w:t>
      </w:r>
      <w:r w:rsidR="00B40FF4" w:rsidRPr="00EF23C7">
        <w:rPr>
          <w:rFonts w:eastAsia="Times New Roman"/>
          <w:color w:val="auto"/>
        </w:rPr>
        <w:t xml:space="preserve"> of the West Virginia Code.</w:t>
      </w:r>
    </w:p>
    <w:p w14:paraId="1B8817BB" w14:textId="77777777" w:rsidR="00303684" w:rsidRPr="00EF23C7" w:rsidRDefault="00303684" w:rsidP="00CC1F3B">
      <w:pPr>
        <w:pStyle w:val="EnactingClause"/>
        <w:rPr>
          <w:color w:val="auto"/>
        </w:rPr>
        <w:sectPr w:rsidR="00303684" w:rsidRPr="00EF23C7" w:rsidSect="00381CF2">
          <w:headerReference w:type="first" r:id="rId13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EF23C7">
        <w:rPr>
          <w:color w:val="auto"/>
        </w:rPr>
        <w:t>Be it enacted by the Legislature of West Virginia:</w:t>
      </w:r>
    </w:p>
    <w:p w14:paraId="4CA26C40" w14:textId="2A57B0B3" w:rsidR="00100FDD" w:rsidRPr="00EF23C7" w:rsidRDefault="00100FDD" w:rsidP="009721E7">
      <w:pPr>
        <w:pStyle w:val="ArticleHeading"/>
        <w:rPr>
          <w:color w:val="auto"/>
        </w:rPr>
      </w:pPr>
      <w:r w:rsidRPr="00EF23C7">
        <w:rPr>
          <w:color w:val="auto"/>
        </w:rPr>
        <w:t xml:space="preserve">ARTICLE </w:t>
      </w:r>
      <w:r w:rsidR="00B40FF4" w:rsidRPr="00EF23C7">
        <w:rPr>
          <w:color w:val="auto"/>
        </w:rPr>
        <w:t>6L</w:t>
      </w:r>
      <w:r w:rsidRPr="00EF23C7">
        <w:rPr>
          <w:color w:val="auto"/>
        </w:rPr>
        <w:t xml:space="preserve">. </w:t>
      </w:r>
      <w:r w:rsidR="00B40FF4" w:rsidRPr="00EF23C7">
        <w:rPr>
          <w:color w:val="auto"/>
        </w:rPr>
        <w:t>special method for valuation of certain wireless technology property</w:t>
      </w:r>
      <w:r w:rsidRPr="00EF23C7">
        <w:rPr>
          <w:color w:val="auto"/>
        </w:rPr>
        <w:t>.</w:t>
      </w:r>
    </w:p>
    <w:p w14:paraId="0E1FAB4B" w14:textId="6938B44B" w:rsidR="00100FDD" w:rsidRPr="00EF23C7" w:rsidRDefault="00100FDD" w:rsidP="009721E7">
      <w:pPr>
        <w:pStyle w:val="SectionHeading"/>
        <w:rPr>
          <w:color w:val="auto"/>
        </w:rPr>
      </w:pPr>
      <w:bookmarkStart w:id="0" w:name="_Hlk36648094"/>
      <w:r w:rsidRPr="00EF23C7">
        <w:rPr>
          <w:color w:val="auto"/>
        </w:rPr>
        <w:t>§</w:t>
      </w:r>
      <w:r w:rsidR="00B40FF4" w:rsidRPr="00EF23C7">
        <w:rPr>
          <w:color w:val="auto"/>
        </w:rPr>
        <w:t>11</w:t>
      </w:r>
      <w:r w:rsidRPr="00EF23C7">
        <w:rPr>
          <w:color w:val="auto"/>
        </w:rPr>
        <w:t>-</w:t>
      </w:r>
      <w:r w:rsidR="00B40FF4" w:rsidRPr="00EF23C7">
        <w:rPr>
          <w:color w:val="auto"/>
        </w:rPr>
        <w:t>6L-4</w:t>
      </w:r>
      <w:r w:rsidRPr="00EF23C7">
        <w:rPr>
          <w:color w:val="auto"/>
        </w:rPr>
        <w:t>.</w:t>
      </w:r>
      <w:r w:rsidR="00B40FF4" w:rsidRPr="00EF23C7">
        <w:rPr>
          <w:color w:val="auto"/>
        </w:rPr>
        <w:t xml:space="preserve"> Initial determination; protest and appeal</w:t>
      </w:r>
      <w:r w:rsidRPr="00EF23C7">
        <w:rPr>
          <w:color w:val="auto"/>
        </w:rPr>
        <w:t>.</w:t>
      </w:r>
    </w:p>
    <w:bookmarkEnd w:id="0"/>
    <w:p w14:paraId="4F032917" w14:textId="22AF096B" w:rsidR="008736AA" w:rsidRPr="00EF23C7" w:rsidRDefault="00B40FF4" w:rsidP="00100FDD">
      <w:pPr>
        <w:pStyle w:val="SectionBody"/>
        <w:rPr>
          <w:color w:val="auto"/>
          <w:u w:val="single"/>
        </w:rPr>
      </w:pPr>
      <w:r w:rsidRPr="00EF23C7">
        <w:rPr>
          <w:color w:val="auto"/>
        </w:rPr>
        <w:t xml:space="preserve">The valuation and assessment of any tower subject to this article, including the process of protest and appeal from any such valuation, shall be conducted </w:t>
      </w:r>
      <w:r w:rsidR="00CD0983" w:rsidRPr="00EF23C7">
        <w:rPr>
          <w:color w:val="auto"/>
          <w:u w:val="single"/>
        </w:rPr>
        <w:t>in</w:t>
      </w:r>
      <w:r w:rsidR="00CD0983" w:rsidRPr="00EF23C7">
        <w:rPr>
          <w:color w:val="auto"/>
        </w:rPr>
        <w:t xml:space="preserve"> the manner set forth and more fully described in §11-6-1 </w:t>
      </w:r>
      <w:r w:rsidR="00C82B15" w:rsidRPr="00C82B15">
        <w:rPr>
          <w:i/>
          <w:iCs/>
          <w:color w:val="auto"/>
        </w:rPr>
        <w:t>et seq.</w:t>
      </w:r>
      <w:r w:rsidR="00CD0983" w:rsidRPr="00EF23C7">
        <w:rPr>
          <w:color w:val="auto"/>
        </w:rPr>
        <w:t xml:space="preserve"> of this code and any applicable rules</w:t>
      </w:r>
      <w:r w:rsidR="00C82B15" w:rsidRPr="00EF23C7">
        <w:rPr>
          <w:color w:val="auto"/>
        </w:rPr>
        <w:t xml:space="preserve">: </w:t>
      </w:r>
      <w:r w:rsidR="00C82B15" w:rsidRPr="00C82B15">
        <w:rPr>
          <w:i/>
          <w:iCs/>
          <w:color w:val="auto"/>
          <w:u w:val="single"/>
        </w:rPr>
        <w:t>Provided</w:t>
      </w:r>
      <w:r w:rsidR="00C82B15" w:rsidRPr="00EF23C7">
        <w:rPr>
          <w:color w:val="auto"/>
          <w:u w:val="single"/>
        </w:rPr>
        <w:t>, That</w:t>
      </w:r>
      <w:r w:rsidR="007B2012" w:rsidRPr="00EF23C7">
        <w:rPr>
          <w:color w:val="auto"/>
          <w:u w:val="single"/>
        </w:rPr>
        <w:t xml:space="preserve"> with respect to any tower that is subject to this article but is not property of a business subject to the provisions of </w:t>
      </w:r>
      <w:r w:rsidR="007B2012" w:rsidRPr="00EF23C7">
        <w:rPr>
          <w:rFonts w:cs="Arial"/>
          <w:color w:val="auto"/>
          <w:u w:val="single"/>
        </w:rPr>
        <w:t>§</w:t>
      </w:r>
      <w:r w:rsidR="007B2012" w:rsidRPr="00EF23C7">
        <w:rPr>
          <w:color w:val="auto"/>
          <w:u w:val="single"/>
        </w:rPr>
        <w:t xml:space="preserve">11-6-1 </w:t>
      </w:r>
      <w:r w:rsidR="00C82B15" w:rsidRPr="00C82B15">
        <w:rPr>
          <w:i/>
          <w:iCs/>
          <w:color w:val="auto"/>
          <w:u w:val="single"/>
        </w:rPr>
        <w:t>et seq.</w:t>
      </w:r>
      <w:r w:rsidR="007B2012" w:rsidRPr="00EF23C7">
        <w:rPr>
          <w:color w:val="auto"/>
          <w:u w:val="single"/>
        </w:rPr>
        <w:t xml:space="preserve"> of this code, the valuation and assessment of such a tower, including the process of protest and appeal from any such valuation, shall be conducted in the manner set forth </w:t>
      </w:r>
      <w:r w:rsidR="00CD0983" w:rsidRPr="00EF23C7">
        <w:rPr>
          <w:color w:val="auto"/>
          <w:u w:val="single"/>
        </w:rPr>
        <w:t xml:space="preserve">in §11-3-1 </w:t>
      </w:r>
      <w:r w:rsidR="00C82B15" w:rsidRPr="00C82B15">
        <w:rPr>
          <w:i/>
          <w:iCs/>
          <w:color w:val="auto"/>
          <w:u w:val="single"/>
        </w:rPr>
        <w:t>et seq.</w:t>
      </w:r>
      <w:r w:rsidR="00CD0983" w:rsidRPr="00EF23C7">
        <w:rPr>
          <w:color w:val="auto"/>
          <w:u w:val="single"/>
        </w:rPr>
        <w:t xml:space="preserve"> of this code.</w:t>
      </w:r>
    </w:p>
    <w:p w14:paraId="474C2E1F" w14:textId="77777777" w:rsidR="00C33014" w:rsidRPr="00EF23C7" w:rsidRDefault="00C33014" w:rsidP="00100FDD">
      <w:pPr>
        <w:pStyle w:val="Note"/>
        <w:rPr>
          <w:color w:val="auto"/>
          <w:sz w:val="22"/>
        </w:rPr>
      </w:pPr>
    </w:p>
    <w:p w14:paraId="50924223" w14:textId="6B9B7092" w:rsidR="006865E9" w:rsidRPr="00EF23C7" w:rsidRDefault="00CF1DCA" w:rsidP="00100FDD">
      <w:pPr>
        <w:pStyle w:val="Note"/>
        <w:rPr>
          <w:color w:val="auto"/>
          <w:sz w:val="22"/>
        </w:rPr>
      </w:pPr>
      <w:r w:rsidRPr="00EF23C7">
        <w:rPr>
          <w:color w:val="auto"/>
          <w:sz w:val="22"/>
        </w:rPr>
        <w:t>NOTE: The</w:t>
      </w:r>
      <w:r w:rsidR="006865E9" w:rsidRPr="00EF23C7">
        <w:rPr>
          <w:color w:val="auto"/>
          <w:sz w:val="22"/>
        </w:rPr>
        <w:t xml:space="preserve"> purpose of this bill is to </w:t>
      </w:r>
      <w:r w:rsidR="00CD0983" w:rsidRPr="00EF23C7">
        <w:rPr>
          <w:rFonts w:eastAsia="Times New Roman"/>
          <w:color w:val="auto"/>
          <w:sz w:val="22"/>
        </w:rPr>
        <w:t>extend the special valuation method for cellular towers to towers owned by persons not subject to regulation by the Board of Public Works. The bill also makes a technical correction in the language of the statute</w:t>
      </w:r>
      <w:r w:rsidR="00100FDD" w:rsidRPr="00EF23C7">
        <w:rPr>
          <w:rFonts w:eastAsia="Times New Roman"/>
          <w:color w:val="auto"/>
          <w:sz w:val="22"/>
        </w:rPr>
        <w:t>.</w:t>
      </w:r>
    </w:p>
    <w:p w14:paraId="1600219E" w14:textId="77777777" w:rsidR="006865E9" w:rsidRPr="00EF23C7" w:rsidRDefault="00AE48A0" w:rsidP="00100FDD">
      <w:pPr>
        <w:pStyle w:val="Note"/>
        <w:rPr>
          <w:color w:val="auto"/>
          <w:sz w:val="22"/>
        </w:rPr>
      </w:pPr>
      <w:r w:rsidRPr="00EF23C7">
        <w:rPr>
          <w:color w:val="auto"/>
          <w:sz w:val="22"/>
        </w:rPr>
        <w:t>Strike-throughs indicate language that would be stricken from a heading or the present law and underscoring indicates new language that would be added.</w:t>
      </w:r>
    </w:p>
    <w:sectPr w:rsidR="006865E9" w:rsidRPr="00EF23C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BF43C" w14:textId="77777777" w:rsidR="00D65056" w:rsidRPr="00B844FE" w:rsidRDefault="00D65056" w:rsidP="00B844FE">
      <w:r>
        <w:separator/>
      </w:r>
    </w:p>
  </w:endnote>
  <w:endnote w:type="continuationSeparator" w:id="0">
    <w:p w14:paraId="3148FE55" w14:textId="77777777" w:rsidR="00D65056" w:rsidRPr="00B844FE" w:rsidRDefault="00D6505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E6CA8A8" w14:textId="77777777" w:rsidR="00A159D1" w:rsidRPr="00B844FE" w:rsidRDefault="00A159D1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98F2593" w14:textId="77777777" w:rsidR="00A159D1" w:rsidRDefault="00A159D1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5155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1FE0D" w14:textId="77777777" w:rsidR="00A159D1" w:rsidRDefault="00A159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2098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7BA08" w14:textId="77777777" w:rsidR="00A159D1" w:rsidRDefault="00EC1C4B">
        <w:pPr>
          <w:pStyle w:val="Footer"/>
          <w:jc w:val="center"/>
        </w:pPr>
      </w:p>
    </w:sdtContent>
  </w:sdt>
  <w:p w14:paraId="34689CA6" w14:textId="77777777" w:rsidR="00A159D1" w:rsidRDefault="00A15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4B36C" w14:textId="77777777" w:rsidR="00D65056" w:rsidRPr="00B844FE" w:rsidRDefault="00D65056" w:rsidP="00B844FE">
      <w:r>
        <w:separator/>
      </w:r>
    </w:p>
  </w:footnote>
  <w:footnote w:type="continuationSeparator" w:id="0">
    <w:p w14:paraId="60F59BCB" w14:textId="77777777" w:rsidR="00D65056" w:rsidRPr="00B844FE" w:rsidRDefault="00D6505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06740" w14:textId="6DE61791" w:rsidR="00A159D1" w:rsidRPr="00B844FE" w:rsidRDefault="00EC1C4B">
    <w:pPr>
      <w:pStyle w:val="Header"/>
    </w:pPr>
    <w:sdt>
      <w:sdtPr>
        <w:id w:val="-684364211"/>
        <w:placeholder>
          <w:docPart w:val="66B319D370DE4A4192FD12576453F941"/>
        </w:placeholder>
        <w:temporary/>
        <w:showingPlcHdr/>
        <w15:appearance w15:val="hidden"/>
      </w:sdtPr>
      <w:sdtEndPr/>
      <w:sdtContent>
        <w:r w:rsidR="00B63361" w:rsidRPr="00B844FE">
          <w:t>[Type here]</w:t>
        </w:r>
      </w:sdtContent>
    </w:sdt>
    <w:r w:rsidR="00A159D1" w:rsidRPr="00B844FE">
      <w:ptab w:relativeTo="margin" w:alignment="left" w:leader="none"/>
    </w:r>
    <w:sdt>
      <w:sdtPr>
        <w:id w:val="-556240388"/>
        <w:placeholder>
          <w:docPart w:val="66B319D370DE4A4192FD12576453F941"/>
        </w:placeholder>
        <w:temporary/>
        <w:showingPlcHdr/>
        <w15:appearance w15:val="hidden"/>
      </w:sdtPr>
      <w:sdtEndPr/>
      <w:sdtContent>
        <w:r w:rsidR="00B63361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63304" w14:textId="511428C3" w:rsidR="006E099D" w:rsidRDefault="00BF6CF8">
    <w:pPr>
      <w:pStyle w:val="Header"/>
    </w:pPr>
    <w:r>
      <w:t>Introduced HB 3010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D32FA" w14:textId="77777777" w:rsidR="00CA4DCB" w:rsidRPr="002A0269" w:rsidRDefault="00EC1C4B" w:rsidP="00CC1F3B">
    <w:pPr>
      <w:pStyle w:val="HeaderStyle"/>
    </w:pPr>
    <w:sdt>
      <w:sdtPr>
        <w:tag w:val="BNumWH"/>
        <w:id w:val="-197862934"/>
        <w:text/>
      </w:sdtPr>
      <w:sdtEndPr/>
      <w:sdtContent>
        <w:r w:rsidR="00CA4DCB">
          <w:t>Intr HB</w:t>
        </w:r>
      </w:sdtContent>
    </w:sdt>
    <w:r w:rsidR="00CA4DCB" w:rsidRPr="002A0269">
      <w:ptab w:relativeTo="margin" w:alignment="center" w:leader="none"/>
    </w:r>
    <w:r w:rsidR="00CA4DCB">
      <w:tab/>
    </w:r>
    <w:sdt>
      <w:sdtPr>
        <w:alias w:val="CBD Number"/>
        <w:tag w:val="CBD Number"/>
        <w:id w:val="1450743964"/>
        <w:lock w:val="sdtLocked"/>
        <w:text/>
      </w:sdtPr>
      <w:sdtEndPr/>
      <w:sdtContent>
        <w:r w:rsidR="00CA4DCB">
          <w:t>2021R3265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DD"/>
    <w:rsid w:val="0000526A"/>
    <w:rsid w:val="00044857"/>
    <w:rsid w:val="000573A9"/>
    <w:rsid w:val="00085D22"/>
    <w:rsid w:val="000C5C77"/>
    <w:rsid w:val="000E3912"/>
    <w:rsid w:val="0010070F"/>
    <w:rsid w:val="00100FDD"/>
    <w:rsid w:val="00121CE4"/>
    <w:rsid w:val="001227BB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775A6"/>
    <w:rsid w:val="002A0269"/>
    <w:rsid w:val="002E7000"/>
    <w:rsid w:val="00303684"/>
    <w:rsid w:val="003109AF"/>
    <w:rsid w:val="003143F5"/>
    <w:rsid w:val="00314854"/>
    <w:rsid w:val="00381CF2"/>
    <w:rsid w:val="00383A33"/>
    <w:rsid w:val="00393EAA"/>
    <w:rsid w:val="00394191"/>
    <w:rsid w:val="003C51CD"/>
    <w:rsid w:val="004368E0"/>
    <w:rsid w:val="00473E49"/>
    <w:rsid w:val="004C13DD"/>
    <w:rsid w:val="004E3441"/>
    <w:rsid w:val="004E754B"/>
    <w:rsid w:val="00500579"/>
    <w:rsid w:val="005A5366"/>
    <w:rsid w:val="006369EB"/>
    <w:rsid w:val="00637E73"/>
    <w:rsid w:val="006865E9"/>
    <w:rsid w:val="00686E94"/>
    <w:rsid w:val="00691F3E"/>
    <w:rsid w:val="00694BFB"/>
    <w:rsid w:val="006A106B"/>
    <w:rsid w:val="006B6DCD"/>
    <w:rsid w:val="006C523D"/>
    <w:rsid w:val="006D2CA4"/>
    <w:rsid w:val="006D4036"/>
    <w:rsid w:val="006E099D"/>
    <w:rsid w:val="007A5259"/>
    <w:rsid w:val="007A7081"/>
    <w:rsid w:val="007B2012"/>
    <w:rsid w:val="007F1CF5"/>
    <w:rsid w:val="00834EDE"/>
    <w:rsid w:val="008736AA"/>
    <w:rsid w:val="008B2E10"/>
    <w:rsid w:val="008D275D"/>
    <w:rsid w:val="008E4D5D"/>
    <w:rsid w:val="00934FFB"/>
    <w:rsid w:val="009721E7"/>
    <w:rsid w:val="00980327"/>
    <w:rsid w:val="00982906"/>
    <w:rsid w:val="00986478"/>
    <w:rsid w:val="009A68C0"/>
    <w:rsid w:val="009B5557"/>
    <w:rsid w:val="009F1067"/>
    <w:rsid w:val="00A159D1"/>
    <w:rsid w:val="00A204D6"/>
    <w:rsid w:val="00A31E01"/>
    <w:rsid w:val="00A44C86"/>
    <w:rsid w:val="00A47594"/>
    <w:rsid w:val="00A527AD"/>
    <w:rsid w:val="00A718CF"/>
    <w:rsid w:val="00A84FEB"/>
    <w:rsid w:val="00A9193E"/>
    <w:rsid w:val="00A9491C"/>
    <w:rsid w:val="00AC3D3E"/>
    <w:rsid w:val="00AE48A0"/>
    <w:rsid w:val="00AE61BE"/>
    <w:rsid w:val="00B16F25"/>
    <w:rsid w:val="00B24422"/>
    <w:rsid w:val="00B40FF4"/>
    <w:rsid w:val="00B52793"/>
    <w:rsid w:val="00B605A5"/>
    <w:rsid w:val="00B63361"/>
    <w:rsid w:val="00B66B81"/>
    <w:rsid w:val="00B80C20"/>
    <w:rsid w:val="00B844FE"/>
    <w:rsid w:val="00B86B4F"/>
    <w:rsid w:val="00B9025F"/>
    <w:rsid w:val="00BA1F84"/>
    <w:rsid w:val="00BC562B"/>
    <w:rsid w:val="00BD226C"/>
    <w:rsid w:val="00BE09B0"/>
    <w:rsid w:val="00BF6CF8"/>
    <w:rsid w:val="00C14621"/>
    <w:rsid w:val="00C33014"/>
    <w:rsid w:val="00C33434"/>
    <w:rsid w:val="00C34869"/>
    <w:rsid w:val="00C42EB6"/>
    <w:rsid w:val="00C82B15"/>
    <w:rsid w:val="00C85096"/>
    <w:rsid w:val="00CA4DCB"/>
    <w:rsid w:val="00CB20EF"/>
    <w:rsid w:val="00CC1AB7"/>
    <w:rsid w:val="00CC1F3B"/>
    <w:rsid w:val="00CD0983"/>
    <w:rsid w:val="00CD12CB"/>
    <w:rsid w:val="00CD36CF"/>
    <w:rsid w:val="00CE09B4"/>
    <w:rsid w:val="00CF1DCA"/>
    <w:rsid w:val="00D579FC"/>
    <w:rsid w:val="00D65056"/>
    <w:rsid w:val="00D81C16"/>
    <w:rsid w:val="00DD24BD"/>
    <w:rsid w:val="00DE05BB"/>
    <w:rsid w:val="00DE526B"/>
    <w:rsid w:val="00DF199D"/>
    <w:rsid w:val="00E01542"/>
    <w:rsid w:val="00E03F45"/>
    <w:rsid w:val="00E051EF"/>
    <w:rsid w:val="00E1096E"/>
    <w:rsid w:val="00E365F1"/>
    <w:rsid w:val="00E45259"/>
    <w:rsid w:val="00E62F48"/>
    <w:rsid w:val="00E831B3"/>
    <w:rsid w:val="00E95FBC"/>
    <w:rsid w:val="00EC1C4B"/>
    <w:rsid w:val="00EE70CB"/>
    <w:rsid w:val="00EF23C7"/>
    <w:rsid w:val="00F41CA2"/>
    <w:rsid w:val="00F443C0"/>
    <w:rsid w:val="00F62EFB"/>
    <w:rsid w:val="00F939A4"/>
    <w:rsid w:val="00FA5A5E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9BFC2D5"/>
  <w15:chartTrackingRefBased/>
  <w15:docId w15:val="{DE538DDB-0BC8-4176-8C5A-373F8F7E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qFormat/>
    <w:rsid w:val="00CC1AB7"/>
    <w:rPr>
      <w:rFonts w:eastAsia="Calibri"/>
      <w:color w:val="000000"/>
    </w:rPr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3C9AED890DA4E6CA9B5EF923F09E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D6E51-3E79-4B79-BBA0-3F5FBFF84179}"/>
      </w:docPartPr>
      <w:docPartBody>
        <w:p w:rsidR="00D30789" w:rsidRDefault="00D30789">
          <w:pPr>
            <w:pStyle w:val="93C9AED890DA4E6CA9B5EF923F09E546"/>
          </w:pPr>
          <w:r w:rsidRPr="00B844FE">
            <w:t>Prefix Text</w:t>
          </w:r>
        </w:p>
      </w:docPartBody>
    </w:docPart>
    <w:docPart>
      <w:docPartPr>
        <w:name w:val="66B319D370DE4A4192FD12576453F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3B12A-772E-4FEB-9B27-B425FE2F8258}"/>
      </w:docPartPr>
      <w:docPartBody>
        <w:p w:rsidR="00D30789" w:rsidRDefault="007C78A0">
          <w:pPr>
            <w:pStyle w:val="66B319D370DE4A4192FD12576453F941"/>
          </w:pPr>
          <w:r w:rsidRPr="00B844FE">
            <w:t>[Type here]</w:t>
          </w:r>
        </w:p>
      </w:docPartBody>
    </w:docPart>
    <w:docPart>
      <w:docPartPr>
        <w:name w:val="7124DFEB9FDB41B2BFBEB5F6A7DE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2E85-BD5D-4B8B-B60C-E2A86AE6CCC2}"/>
      </w:docPartPr>
      <w:docPartBody>
        <w:p w:rsidR="00D30789" w:rsidRDefault="00D30789">
          <w:pPr>
            <w:pStyle w:val="7124DFEB9FDB41B2BFBEB5F6A7DE3765"/>
          </w:pPr>
          <w:r w:rsidRPr="00B844FE">
            <w:t>Number</w:t>
          </w:r>
        </w:p>
      </w:docPartBody>
    </w:docPart>
    <w:docPart>
      <w:docPartPr>
        <w:name w:val="E66F0A6E93EE4A18821A27D73B8CC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83B7-655E-4216-A023-D8C0EF3B53A9}"/>
      </w:docPartPr>
      <w:docPartBody>
        <w:p w:rsidR="00D30789" w:rsidRDefault="00D30789">
          <w:pPr>
            <w:pStyle w:val="E66F0A6E93EE4A18821A27D73B8CC57D"/>
          </w:pPr>
          <w:r w:rsidRPr="00B844FE">
            <w:t>Enter Sponsors Here</w:t>
          </w:r>
        </w:p>
      </w:docPartBody>
    </w:docPart>
    <w:docPart>
      <w:docPartPr>
        <w:name w:val="E2AFEF07E2934C69B4F2FC1E463BE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D64A-352A-4D98-B13D-F1C2C74067B5}"/>
      </w:docPartPr>
      <w:docPartBody>
        <w:p w:rsidR="0068211B" w:rsidRDefault="002E6EDC" w:rsidP="002E6EDC">
          <w:pPr>
            <w:pStyle w:val="E2AFEF07E2934C69B4F2FC1E463BECC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89"/>
    <w:rsid w:val="002E6EDC"/>
    <w:rsid w:val="0036392B"/>
    <w:rsid w:val="0051541F"/>
    <w:rsid w:val="0068211B"/>
    <w:rsid w:val="007C78A0"/>
    <w:rsid w:val="00D3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C9AED890DA4E6CA9B5EF923F09E546">
    <w:name w:val="93C9AED890DA4E6CA9B5EF923F09E546"/>
  </w:style>
  <w:style w:type="paragraph" w:customStyle="1" w:styleId="66B319D370DE4A4192FD12576453F941">
    <w:name w:val="66B319D370DE4A4192FD12576453F941"/>
  </w:style>
  <w:style w:type="paragraph" w:customStyle="1" w:styleId="7124DFEB9FDB41B2BFBEB5F6A7DE3765">
    <w:name w:val="7124DFEB9FDB41B2BFBEB5F6A7DE3765"/>
  </w:style>
  <w:style w:type="paragraph" w:customStyle="1" w:styleId="E66F0A6E93EE4A18821A27D73B8CC57D">
    <w:name w:val="E66F0A6E93EE4A18821A27D73B8CC57D"/>
  </w:style>
  <w:style w:type="character" w:styleId="PlaceholderText">
    <w:name w:val="Placeholder Text"/>
    <w:basedOn w:val="DefaultParagraphFont"/>
    <w:uiPriority w:val="99"/>
    <w:semiHidden/>
    <w:rsid w:val="007C78A0"/>
    <w:rPr>
      <w:color w:val="808080"/>
    </w:rPr>
  </w:style>
  <w:style w:type="paragraph" w:customStyle="1" w:styleId="E2AFEF07E2934C69B4F2FC1E463BECC6">
    <w:name w:val="E2AFEF07E2934C69B4F2FC1E463BECC6"/>
    <w:rsid w:val="002E6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BF52-14F0-41E3-8F8C-DF2CD6F8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Mark S</dc:creator>
  <cp:keywords/>
  <dc:description/>
  <cp:lastModifiedBy>Seth Wright</cp:lastModifiedBy>
  <cp:revision>13</cp:revision>
  <cp:lastPrinted>2020-04-01T19:13:00Z</cp:lastPrinted>
  <dcterms:created xsi:type="dcterms:W3CDTF">2021-03-08T14:20:00Z</dcterms:created>
  <dcterms:modified xsi:type="dcterms:W3CDTF">2021-03-18T19:09:00Z</dcterms:modified>
</cp:coreProperties>
</file>